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38"/>
        <w:rPr>
          <w:rFonts w:hint="eastAsia" w:ascii="黑体" w:eastAsia="黑体"/>
        </w:rPr>
      </w:pPr>
      <w:r>
        <w:rPr>
          <w:rFonts w:hint="eastAsia" w:ascii="黑体" w:eastAsia="黑体"/>
          <w:spacing w:val="-31"/>
        </w:rPr>
        <w:t xml:space="preserve">附件 </w:t>
      </w:r>
      <w:r>
        <w:rPr>
          <w:rFonts w:hint="eastAsia" w:ascii="黑体" w:eastAsia="黑体"/>
        </w:rPr>
        <w:t>3</w:t>
      </w:r>
    </w:p>
    <w:tbl>
      <w:tblPr>
        <w:tblStyle w:val="4"/>
        <w:tblpPr w:leftFromText="180" w:rightFromText="180" w:vertAnchor="page" w:horzAnchor="page" w:tblpX="1272" w:tblpY="3181"/>
        <w:tblOverlap w:val="never"/>
        <w:tblW w:w="1437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261"/>
        <w:gridCol w:w="4286"/>
        <w:gridCol w:w="4800"/>
        <w:gridCol w:w="20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2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2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事 项 名 称</w:t>
            </w:r>
          </w:p>
        </w:tc>
        <w:tc>
          <w:tcPr>
            <w:tcW w:w="42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收 费 标 准</w:t>
            </w:r>
          </w:p>
        </w:tc>
        <w:tc>
          <w:tcPr>
            <w:tcW w:w="48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收 费 依 据</w:t>
            </w:r>
          </w:p>
        </w:tc>
        <w:tc>
          <w:tcPr>
            <w:tcW w:w="200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收费部门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2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6"/>
              <w:rPr>
                <w:rFonts w:ascii="微软雅黑"/>
                <w:b/>
                <w:sz w:val="11"/>
              </w:rPr>
            </w:pPr>
          </w:p>
          <w:p>
            <w:pPr>
              <w:pStyle w:val="6"/>
              <w:ind w:left="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水土保持补偿费</w:t>
            </w:r>
          </w:p>
        </w:tc>
        <w:tc>
          <w:tcPr>
            <w:tcW w:w="4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原 2.5 元/平方米，现 1.7 元/平方米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发改价格〔2017〕1186 号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县林业局（水利局）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2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ind w:left="21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2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森林植被恢复费</w:t>
            </w:r>
          </w:p>
        </w:tc>
        <w:tc>
          <w:tcPr>
            <w:tcW w:w="4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《陕西省森林植被恢复费征收使用管理实施办法》第六条规定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《陕西省森林植被恢复费征收使用管理实施办法》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县林业局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02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微软雅黑"/>
                <w:b/>
                <w:sz w:val="20"/>
              </w:rPr>
            </w:pPr>
          </w:p>
          <w:p>
            <w:pPr>
              <w:pStyle w:val="6"/>
              <w:spacing w:before="7"/>
              <w:rPr>
                <w:rFonts w:ascii="微软雅黑"/>
                <w:b/>
                <w:sz w:val="28"/>
              </w:rPr>
            </w:pPr>
          </w:p>
          <w:p>
            <w:pPr>
              <w:pStyle w:val="6"/>
              <w:ind w:left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人民防空易地建设经费</w:t>
            </w:r>
          </w:p>
        </w:tc>
        <w:tc>
          <w:tcPr>
            <w:tcW w:w="4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6 级:1300 元/平方米</w:t>
            </w:r>
          </w:p>
        </w:tc>
        <w:tc>
          <w:tcPr>
            <w:tcW w:w="4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陕价费调发〔2004〕12 号陕价费调发〔2004〕19 号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县人防办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2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4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1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line="247" w:lineRule="auto"/>
              <w:ind w:left="1119" w:right="119" w:hanging="97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6B 级:780 元/平方米，其中多层按总面积 5—6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drawing>
                <wp:inline distT="0" distB="0" distL="114300" distR="114300">
                  <wp:extent cx="59690" cy="104140"/>
                  <wp:effectExtent l="0" t="0" r="16510" b="1016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收取</w:t>
            </w:r>
          </w:p>
        </w:tc>
        <w:tc>
          <w:tcPr>
            <w:tcW w:w="48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ind w:left="364" w:right="33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县人防办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02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rFonts w:ascii="微软雅黑"/>
                <w:b/>
                <w:sz w:val="16"/>
              </w:rPr>
            </w:pPr>
          </w:p>
          <w:p>
            <w:pPr>
              <w:pStyle w:val="6"/>
              <w:ind w:left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建筑业劳保统筹费</w:t>
            </w:r>
          </w:p>
        </w:tc>
        <w:tc>
          <w:tcPr>
            <w:tcW w:w="4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工程造价的 3.55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drawing>
                <wp:inline distT="0" distB="0" distL="114300" distR="114300">
                  <wp:extent cx="59690" cy="104140"/>
                  <wp:effectExtent l="0" t="0" r="16510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收取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《陕西省建筑业劳保费用行业统筹管理实施细则》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02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3"/>
              <w:rPr>
                <w:rFonts w:ascii="微软雅黑"/>
                <w:b/>
                <w:sz w:val="28"/>
              </w:rPr>
            </w:pPr>
          </w:p>
          <w:p>
            <w:pPr>
              <w:pStyle w:val="6"/>
              <w:ind w:left="2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城市基础设施配套费</w:t>
            </w:r>
          </w:p>
        </w:tc>
        <w:tc>
          <w:tcPr>
            <w:tcW w:w="4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30元/平方米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宝政发〔2020〕20 号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spacing w:before="73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374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3"/>
              <w:rPr>
                <w:rFonts w:ascii="微软雅黑"/>
                <w:b/>
                <w:sz w:val="12"/>
              </w:rPr>
            </w:pPr>
          </w:p>
          <w:p>
            <w:pPr>
              <w:pStyle w:val="6"/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备注：涉及工程建设项目审批其他收费事项参照此表明确标准，收费部门在县政务服务中心收费窗口统一办理。</w:t>
            </w:r>
          </w:p>
        </w:tc>
      </w:tr>
    </w:tbl>
    <w:p>
      <w:pPr>
        <w:pStyle w:val="3"/>
        <w:spacing w:before="452"/>
        <w:ind w:left="88" w:right="3516"/>
      </w:pPr>
      <w:r>
        <w:br w:type="column"/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</w:rPr>
        <w:t>麟游县工程建设项目审批收费事项清单</w:t>
      </w:r>
      <w:bookmarkEnd w:id="0"/>
    </w:p>
    <w:p>
      <w:pPr>
        <w:ind w:firstLine="3213" w:firstLineChars="1000"/>
        <w:rPr>
          <w:rFonts w:hint="eastAsia" w:ascii="微软雅黑" w:eastAsia="微软雅黑"/>
          <w:sz w:val="28"/>
        </w:rPr>
        <w:sectPr>
          <w:footerReference r:id="rId3" w:type="default"/>
          <w:footerReference r:id="rId4" w:type="even"/>
          <w:pgSz w:w="16840" w:h="11910" w:orient="landscape"/>
          <w:pgMar w:top="1580" w:right="1140" w:bottom="1580" w:left="1280" w:header="720" w:footer="720" w:gutter="0"/>
          <w:pgNumType w:fmt="numberInDash"/>
          <w:cols w:equalWidth="0" w:num="2">
            <w:col w:w="1049" w:space="2246"/>
            <w:col w:w="11125"/>
          </w:cols>
        </w:sect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（共计5项）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42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210" w:rightChars="100"/>
                            <w:jc w:val="center"/>
                            <w:rPr>
                              <w:rFonts w:hint="eastAsia" w:ascii="宋体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12pt;mso-position-horizontal:outside;mso-position-horizontal-relative:margin;z-index:251659264;mso-width-relative:page;mso-height-relative:page;" filled="f" stroked="f" coordsize="21600,21600" o:gfxdata="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gm3i1AAAAAUBAAAPAAAAAAAAAAEAIAAAACIAAABkcnMv&#10;ZG93bnJldi54bWxQSwECFAAUAAAACACHTuJA/mDK+M4BAACVAwAADgAAAAAAAAABACAAAAAj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210" w:rightChars="100"/>
                      <w:jc w:val="center"/>
                      <w:rPr>
                        <w:rFonts w:hint="eastAsia" w:ascii="宋体"/>
                        <w:sz w:val="1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55100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210" w:leftChars="100"/>
                            <w:jc w:val="center"/>
                            <w:rPr>
                              <w:rFonts w:hint="eastAsia" w:ascii="宋体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13pt;mso-position-horizontal:outside;mso-position-horizontal-relative:margin;z-index:251660288;mso-width-relative:page;mso-height-relative:page;" filled="f" stroked="f" coordsize="21600,21600" o:gfxdata="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4BuHUAAAABQEAAA8AAAAAAAAAAQAgAAAAIgAAAGRycy9k&#10;b3ducmV2LnhtbFBLAQIUABQAAAAIAIdO4kBs8/bqzQEAAJUDAAAOAAAAAAAAAAEAIAAAACM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210" w:leftChars="100"/>
                      <w:jc w:val="center"/>
                      <w:rPr>
                        <w:rFonts w:hint="eastAsia" w:ascii="宋体"/>
                        <w:sz w:val="1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7E46"/>
    <w:rsid w:val="2C2A7E46"/>
    <w:rsid w:val="5F9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8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2021-04-01T01:02:00Z</dcterms:created>
  <dc:creator>Lenovo</dc:creator>
  <cp:lastModifiedBy>Lenovo</cp:lastModifiedBy>
  <dcterms:modified xsi:type="dcterms:W3CDTF">2021-04-01T01:08:11Z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FE4946636DE2431D853D7D665A1F97C9</vt:lpwstr>
  </property>
</Properties>
</file>